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jc w:val="center"/>
        <w:rPr>
          <w:b/>
          <w:b/>
          <w:bCs/>
        </w:rPr>
      </w:pPr>
      <w:r>
        <w:rPr>
          <w:rFonts w:eastAsia="Calibri" w:cs="Courier New" w:ascii="Calibri" w:hAnsi="Calibri"/>
          <w:b/>
          <w:bCs/>
          <w:spacing w:val="0"/>
          <w:kern w:val="0"/>
          <w:sz w:val="20"/>
          <w:szCs w:val="20"/>
          <w:lang w:val="ro-RO"/>
        </w:rPr>
        <w:t>Anexa nr. 1 la Convenția-cadru privind efectuarea stagiului de practică în cadrul programelor de studii universitare de licență sau masterat</w:t>
      </w:r>
    </w:p>
    <w:p>
      <w:pPr>
        <w:pStyle w:val="Normal"/>
        <w:bidi w:val="0"/>
        <w:jc w:val="start"/>
        <w:rPr>
          <w:rFonts w:ascii="Cambria" w:hAnsi="Cambria" w:cs="Courier New"/>
          <w:b/>
          <w:b/>
          <w:bCs/>
          <w:sz w:val="20"/>
          <w:szCs w:val="20"/>
          <w:lang w:val="ro-RO"/>
        </w:rPr>
      </w:pPr>
      <w:r>
        <w:rPr>
          <w:rFonts w:cs="Courier New" w:ascii="Cambria" w:hAnsi="Cambria"/>
          <w:b/>
          <w:bCs/>
          <w:sz w:val="20"/>
          <w:szCs w:val="20"/>
          <w:lang w:val="ro-RO"/>
        </w:rPr>
      </w:r>
    </w:p>
    <w:p>
      <w:pPr>
        <w:pStyle w:val="Subtitle"/>
        <w:bidi w:val="0"/>
        <w:jc w:val="center"/>
        <w:rPr>
          <w:b/>
          <w:b/>
          <w:bCs/>
        </w:rPr>
      </w:pPr>
      <w:r>
        <w:rPr>
          <w:rFonts w:eastAsia="Calibri" w:cs="Courier New" w:ascii="Calibri" w:hAnsi="Calibri"/>
          <w:b/>
          <w:bCs/>
          <w:color w:val="auto"/>
          <w:spacing w:val="0"/>
          <w:sz w:val="20"/>
          <w:szCs w:val="20"/>
          <w:lang w:val="ro-RO"/>
        </w:rPr>
        <w:t>Portofoliul de practică</w:t>
      </w:r>
    </w:p>
    <w:p>
      <w:pPr>
        <w:pStyle w:val="Normal"/>
        <w:bidi w:val="0"/>
        <w:spacing w:lineRule="auto" w:line="240" w:before="0" w:after="0"/>
        <w:jc w:val="both"/>
        <w:rPr>
          <w:rFonts w:ascii="Cambria" w:hAnsi="Cambria" w:cs="Courier New"/>
          <w:sz w:val="20"/>
          <w:szCs w:val="20"/>
          <w:lang w:val="ro-RO"/>
        </w:rPr>
      </w:pPr>
      <w:r>
        <w:rPr>
          <w:rFonts w:cs="Courier New" w:ascii="Cambria" w:hAnsi="Cambria"/>
          <w:sz w:val="20"/>
          <w:szCs w:val="20"/>
          <w:lang w:val="ro-RO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1. Durata totală a pregătirii practice: </w:t>
      </w:r>
      <w:r>
        <w:rPr>
          <w:rFonts w:eastAsia="Noto Serif CJK SC" w:cs="" w:ascii="Calibri" w:hAnsi="Calibri" w:cstheme="majorHAnsi"/>
          <w:b w:val="false"/>
          <w:bCs w:val="false"/>
          <w:color w:val="000000"/>
          <w:kern w:val="2"/>
          <w:sz w:val="20"/>
          <w:szCs w:val="20"/>
          <w:highlight w:val="yellow"/>
          <w:lang w:val="en-US" w:eastAsia="zh-CN" w:bidi="hi-IN"/>
        </w:rPr>
        <w:t>120</w:t>
      </w:r>
      <w:r>
        <w:rPr>
          <w:rFonts w:cs="" w:ascii="Calibri" w:hAnsi="Calibri" w:cstheme="majorHAnsi"/>
          <w:b w:val="false"/>
          <w:bCs w:val="false"/>
          <w:sz w:val="20"/>
          <w:szCs w:val="20"/>
          <w:highlight w:val="yellow"/>
        </w:rPr>
        <w:t xml:space="preserve"> ore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2. Calendarul pregătirii: </w:t>
      </w:r>
      <w:r>
        <w:rPr>
          <w:rFonts w:cs="" w:ascii="Calibri" w:hAnsi="Calibri" w:cstheme="majorHAnsi"/>
          <w:b w:val="false"/>
          <w:bCs w:val="false"/>
          <w:sz w:val="20"/>
          <w:szCs w:val="20"/>
        </w:rPr>
        <w:t xml:space="preserve">Stagiul de practică se va derula pe perioada </w:t>
      </w:r>
      <w:r>
        <w:rPr>
          <w:rFonts w:cs="" w:ascii="Calibri" w:hAnsi="Calibri" w:cstheme="majorHAnsi"/>
          <w:b w:val="false"/>
          <w:bCs w:val="false"/>
          <w:sz w:val="20"/>
          <w:szCs w:val="20"/>
          <w:highlight w:val="yellow"/>
        </w:rPr>
        <w:t>de vacanță de vară a anului universitar 2022-2023</w:t>
      </w:r>
      <w:r>
        <w:rPr>
          <w:rFonts w:cs="" w:ascii="Calibri" w:hAnsi="Calibri" w:cstheme="majorHAnsi"/>
          <w:b w:val="false"/>
          <w:bCs w:val="false"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3. Perioada stagiului, timpul de lucru şi orarul (de precizat zilele de pregătire practică în cazul timpului de lucru parţial): </w:t>
      </w:r>
      <w:r>
        <w:rPr>
          <w:rFonts w:cs="" w:ascii="Calibri" w:hAnsi="Calibri" w:cstheme="majorHAnsi"/>
          <w:b w:val="false"/>
          <w:bCs w:val="false"/>
          <w:sz w:val="20"/>
          <w:szCs w:val="20"/>
          <w:highlight w:val="yellow"/>
        </w:rPr>
        <w:t>14.08.2023 - 01.09.2023, 6 ore/zi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4. Adresa unde se va derula stagiul de pregătire practică: </w:t>
      </w:r>
      <w:r>
        <w:rPr>
          <w:rFonts w:cs="" w:ascii="Calibri" w:hAnsi="Calibri" w:cstheme="majorHAnsi"/>
          <w:sz w:val="20"/>
          <w:szCs w:val="20"/>
          <w:highlight w:val="yellow"/>
        </w:rPr>
        <w:t>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5. Deplasarea în afara locului unde este repartizat practicantul vizează următoarele locaţii: </w:t>
      </w:r>
      <w:r>
        <w:rPr>
          <w:rFonts w:cs="" w:ascii="Calibri" w:hAnsi="Calibri" w:cstheme="majorHAnsi"/>
          <w:sz w:val="20"/>
          <w:szCs w:val="20"/>
          <w:highlight w:val="yellow"/>
        </w:rPr>
        <w:t>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6. Condiţii de primire a studentului/masterandului în stagiul de practică: </w:t>
      </w:r>
      <w:r>
        <w:rPr>
          <w:rFonts w:cs="" w:ascii="Calibri" w:hAnsi="Calibri" w:cstheme="majorHAnsi"/>
          <w:b w:val="false"/>
          <w:bCs w:val="false"/>
          <w:sz w:val="20"/>
          <w:szCs w:val="20"/>
        </w:rPr>
        <w:t xml:space="preserve">Stagiul de practică se desfășoară conform </w:t>
      </w:r>
      <w:r>
        <w:rPr>
          <w:rFonts w:cs="" w:ascii="Calibri" w:hAnsi="Calibri" w:cstheme="majorHAnsi"/>
          <w:b w:val="false"/>
          <w:bCs w:val="false"/>
          <w:i/>
          <w:iCs/>
          <w:sz w:val="20"/>
          <w:szCs w:val="20"/>
        </w:rPr>
        <w:t>Regulamentului Universităţii Babeş-Bolyai Cluj-Napoca privind cadrul general de organizare şi desfăşurare a practicii de specialitate a studenţilor la nivel licenţă şi master</w:t>
      </w:r>
      <w:r>
        <w:rPr>
          <w:rFonts w:cs="" w:ascii="Calibri" w:hAnsi="Calibri" w:cstheme="majorHAnsi"/>
          <w:b w:val="false"/>
          <w:bCs w:val="false"/>
          <w:i w:val="false"/>
          <w:iCs w:val="false"/>
          <w:sz w:val="20"/>
          <w:szCs w:val="20"/>
        </w:rPr>
        <w:t>, precum și conform condițillor impuse de partenerul de practică.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>7. Modalităţi prin care se asigură complementaritatea între pregătirea dobândită de studentul/masterandul în instituţia de învăţământ superior şi în cadrul stagiului de practică: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Punerea în practică a cunoștințelor dobândite pe parcursul semestrelor universitare anterioare în probleme din viața reală.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Utilizarea celor mai noi tehnologii în domeniul de activitate specific al companiei, urmând un plan de lucru prestabilit și cu îndrumare calificată.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8. Numele şi prenumele cadrului didactic care asigură supravegherea pedagogică a practicantului pe perioada stagiului de practică: </w:t>
      </w:r>
      <w:r>
        <w:rPr>
          <w:rFonts w:cs="" w:ascii="Calibri" w:hAnsi="Calibri" w:cstheme="majorHAnsi"/>
          <w:sz w:val="20"/>
          <w:szCs w:val="20"/>
          <w:highlight w:val="yellow"/>
        </w:rPr>
        <w:t>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>9. Drepturi şi responsabilităţi ale cadrului didactic din unitatea de învăţământ - organizator al practicii, pe perioada stagiului de practică: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Informează studenții și partenerii de practică despre condițiile și cerințele stagiului de practică.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Elaborează fișa disciplinei.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Urmărește respectarea programului de practică, coordonează comunicarea permanentă între tutori de practică și practicanți, și acordă asistența necesară pentru efectuarea stagiilor.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Verifică completarea corectă a documentelor de practică.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Completează catalogul disciplinei de practică.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10. Numele şi prenumele tutorelui desemnat de întreprindere care va asigura respectarea condiţiilor de pregătire şi dobândirea de către practicant a competenţelor profesionale planificate pentru perioada stagiului de practică: </w:t>
      </w:r>
      <w:r>
        <w:rPr>
          <w:rFonts w:cs="" w:ascii="Calibri" w:hAnsi="Calibri" w:cstheme="majorHAnsi"/>
          <w:sz w:val="20"/>
          <w:szCs w:val="20"/>
          <w:highlight w:val="yellow"/>
        </w:rPr>
        <w:t>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>11. Drepturi şi responsabilităţi ale tutorelui de practică desemnat de partenerul de practică: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Stabilește sarcinile pe care studentul va trebui să le îndeplinească pe perioada practicii.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Îndrumă practicantul pe toată durata stagiului.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Verifică completarea corectă a raportului de activitate de către student.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" w:ascii="Calibri" w:hAnsi="Calibri" w:cstheme="majorHAnsi"/>
          <w:b w:val="false"/>
          <w:bCs w:val="false"/>
          <w:sz w:val="20"/>
          <w:szCs w:val="20"/>
        </w:rPr>
        <w:t>Întocmește fișa de evaluare a studentului.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>12. Definirea competenţelor care vor fi dobândite pe perioada stagiului de practică:</w:t>
      </w:r>
    </w:p>
    <w:tbl>
      <w:tblPr>
        <w:tblStyle w:val="TableGrid"/>
        <w:tblW w:w="9216" w:type="dxa"/>
        <w:jc w:val="center"/>
        <w:tblInd w:w="0" w:type="dxa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626"/>
        <w:gridCol w:w="2430"/>
        <w:gridCol w:w="1446"/>
        <w:gridCol w:w="1175"/>
        <w:gridCol w:w="2253"/>
        <w:gridCol w:w="1285"/>
      </w:tblGrid>
      <w:tr>
        <w:trPr>
          <w:trHeight w:val="20" w:hRule="atLeast"/>
        </w:trPr>
        <w:tc>
          <w:tcPr>
            <w:tcW w:w="62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Nr.</w:t>
            </w:r>
          </w:p>
        </w:tc>
        <w:tc>
          <w:tcPr>
            <w:tcW w:w="24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Competenţa</w:t>
            </w:r>
          </w:p>
        </w:tc>
        <w:tc>
          <w:tcPr>
            <w:tcW w:w="14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Modulul de pregătire</w:t>
            </w:r>
          </w:p>
        </w:tc>
        <w:tc>
          <w:tcPr>
            <w:tcW w:w="11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Locul de muncă</w:t>
            </w:r>
          </w:p>
        </w:tc>
        <w:tc>
          <w:tcPr>
            <w:tcW w:w="225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Activităţi planificate</w:t>
            </w:r>
          </w:p>
        </w:tc>
        <w:tc>
          <w:tcPr>
            <w:tcW w:w="12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Observaţii</w:t>
            </w:r>
          </w:p>
        </w:tc>
      </w:tr>
      <w:tr>
        <w:trPr/>
        <w:tc>
          <w:tcPr>
            <w:tcW w:w="6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Aplicarea cunoștințelor practice și teoretice dobândite pe perioada stagiului</w:t>
            </w:r>
          </w:p>
        </w:tc>
        <w:tc>
          <w:tcPr>
            <w:tcW w:w="144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pregătire practică</w:t>
            </w:r>
          </w:p>
        </w:tc>
        <w:tc>
          <w:tcPr>
            <w:tcW w:w="1175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locația de practică</w:t>
            </w:r>
          </w:p>
        </w:tc>
        <w:tc>
          <w:tcPr>
            <w:tcW w:w="2253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conform raportului de activitate</w:t>
            </w:r>
          </w:p>
        </w:tc>
        <w:tc>
          <w:tcPr>
            <w:tcW w:w="1285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Lucrul în echipă</w:t>
            </w:r>
          </w:p>
        </w:tc>
        <w:tc>
          <w:tcPr>
            <w:tcW w:w="144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</w:rPr>
            </w:r>
          </w:p>
        </w:tc>
        <w:tc>
          <w:tcPr>
            <w:tcW w:w="11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3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Capacitatea de a familiariza cu noile tehnologii</w:t>
            </w:r>
          </w:p>
        </w:tc>
        <w:tc>
          <w:tcPr>
            <w:tcW w:w="144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</w:rPr>
            </w:r>
          </w:p>
        </w:tc>
        <w:tc>
          <w:tcPr>
            <w:tcW w:w="11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3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Capacitatea de a lucra independent</w:t>
            </w:r>
          </w:p>
        </w:tc>
        <w:tc>
          <w:tcPr>
            <w:tcW w:w="144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</w:rPr>
            </w:r>
          </w:p>
        </w:tc>
        <w:tc>
          <w:tcPr>
            <w:tcW w:w="11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3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Capacitatea de a respecta termenele limită</w:t>
            </w:r>
          </w:p>
        </w:tc>
        <w:tc>
          <w:tcPr>
            <w:tcW w:w="144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</w:rPr>
            </w:r>
          </w:p>
        </w:tc>
        <w:tc>
          <w:tcPr>
            <w:tcW w:w="11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3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" w:ascii="Calibri" w:hAnsi="Calibri" w:cstheme="majorHAnsi"/>
                <w:b w:val="false"/>
                <w:bCs w:val="false"/>
                <w:sz w:val="20"/>
                <w:szCs w:val="20"/>
              </w:rPr>
              <w:t>Comportament profesional, etic și responsabil</w:t>
            </w:r>
          </w:p>
        </w:tc>
        <w:tc>
          <w:tcPr>
            <w:tcW w:w="144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</w:rPr>
            </w:r>
          </w:p>
        </w:tc>
        <w:tc>
          <w:tcPr>
            <w:tcW w:w="11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3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Theme="majorHAnsi" w:cstheme="majorHAnsi" w:hAnsiTheme="majorHAnsi"/>
          <w:sz w:val="20"/>
          <w:szCs w:val="20"/>
        </w:rPr>
      </w:r>
    </w:p>
    <w:p>
      <w:pPr>
        <w:pStyle w:val="Normal"/>
        <w:bidi w:val="0"/>
        <w:spacing w:lineRule="auto" w:line="360" w:before="0" w:after="0"/>
        <w:jc w:val="start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="Calibri" w:hAnsi="Calibri" w:cstheme="majorHAnsi"/>
          <w:sz w:val="20"/>
          <w:szCs w:val="20"/>
        </w:rPr>
        <w:t xml:space="preserve">13. Modalităţi de evaluare a pregătirii profesionale dobândite de practicant pe perioada stagiului de pregătire practică: </w:t>
      </w:r>
      <w:r>
        <w:rPr>
          <w:rFonts w:cs="" w:ascii="Calibri" w:hAnsi="Calibri" w:cstheme="majorHAnsi"/>
          <w:b w:val="false"/>
          <w:bCs w:val="false"/>
          <w:sz w:val="20"/>
          <w:szCs w:val="20"/>
        </w:rPr>
        <w:t>Evaluarea este realizată în permanență de către tutore pe tot parcursul stagiului de practică. La finalul stagiului se întocmește o fisă de evaluare a studentului de către tutorele de practică, împreună cu un raport de activitate completat de student și vizat de tutore.</w:t>
      </w:r>
    </w:p>
    <w:p>
      <w:pPr>
        <w:pStyle w:val="Normal"/>
        <w:bidi w:val="0"/>
        <w:spacing w:lineRule="auto" w:line="360" w:before="0" w:after="0"/>
        <w:jc w:val="start"/>
        <w:rPr>
          <w:rFonts w:cs="" w:asciiTheme="majorHAnsi" w:cstheme="majorHAnsi" w:hAnsiTheme="majorHAnsi"/>
          <w:sz w:val="20"/>
          <w:szCs w:val="20"/>
        </w:rPr>
      </w:pPr>
      <w:r>
        <w:rPr>
          <w:rFonts w:cs="" w:asciiTheme="majorHAnsi" w:cstheme="majorHAnsi" w:hAnsiTheme="majorHAnsi"/>
          <w:sz w:val="20"/>
          <w:szCs w:val="20"/>
        </w:rPr>
      </w:r>
    </w:p>
    <w:tbl>
      <w:tblPr>
        <w:tblStyle w:val="TableGrid"/>
        <w:tblW w:w="8935" w:type="dxa"/>
        <w:jc w:val="start"/>
        <w:tblInd w:w="108" w:type="dxa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1843"/>
        <w:gridCol w:w="2363"/>
        <w:gridCol w:w="2364"/>
        <w:gridCol w:w="2364"/>
      </w:tblGrid>
      <w:tr>
        <w:trPr>
          <w:trHeight w:val="20" w:hRule="atLeast"/>
        </w:trPr>
        <w:tc>
          <w:tcPr>
            <w:tcW w:w="184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</w:rPr>
            </w:r>
          </w:p>
        </w:tc>
        <w:tc>
          <w:tcPr>
            <w:tcW w:w="23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="Calibri" w:hAnsi="Calibri" w:cstheme="majorHAnsi"/>
                <w:sz w:val="20"/>
                <w:szCs w:val="20"/>
              </w:rPr>
              <w:t>Cadru didactic supervizor</w:t>
            </w:r>
          </w:p>
        </w:tc>
        <w:tc>
          <w:tcPr>
            <w:tcW w:w="236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="Calibri" w:hAnsi="Calibri" w:cstheme="majorHAnsi"/>
                <w:sz w:val="20"/>
                <w:szCs w:val="20"/>
              </w:rPr>
              <w:t>Tutore</w:t>
            </w:r>
          </w:p>
        </w:tc>
        <w:tc>
          <w:tcPr>
            <w:tcW w:w="236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="Calibri" w:hAnsi="Calibri" w:cstheme="majorHAnsi"/>
                <w:sz w:val="20"/>
                <w:szCs w:val="20"/>
              </w:rPr>
              <w:t>Practicant</w:t>
            </w:r>
          </w:p>
        </w:tc>
      </w:tr>
      <w:tr>
        <w:trPr>
          <w:trHeight w:val="567" w:hRule="atLeast"/>
        </w:trPr>
        <w:tc>
          <w:tcPr>
            <w:tcW w:w="184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="Calibri" w:hAnsi="Calibri" w:cstheme="majorHAnsi"/>
                <w:sz w:val="20"/>
                <w:szCs w:val="20"/>
              </w:rPr>
              <w:t>Nume și prenume</w:t>
            </w:r>
          </w:p>
        </w:tc>
        <w:tc>
          <w:tcPr>
            <w:tcW w:w="2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  <w:tc>
          <w:tcPr>
            <w:tcW w:w="23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  <w:tc>
          <w:tcPr>
            <w:tcW w:w="23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</w:tr>
      <w:tr>
        <w:trPr>
          <w:trHeight w:val="567" w:hRule="atLeast"/>
        </w:trPr>
        <w:tc>
          <w:tcPr>
            <w:tcW w:w="184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="Calibri" w:hAnsi="Calibri" w:cstheme="majorHAnsi"/>
                <w:sz w:val="20"/>
                <w:szCs w:val="20"/>
              </w:rPr>
              <w:t>Funcția</w:t>
            </w:r>
          </w:p>
        </w:tc>
        <w:tc>
          <w:tcPr>
            <w:tcW w:w="2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  <w:tc>
          <w:tcPr>
            <w:tcW w:w="23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  <w:tc>
          <w:tcPr>
            <w:tcW w:w="23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</w:tr>
      <w:tr>
        <w:trPr>
          <w:trHeight w:val="567" w:hRule="atLeast"/>
        </w:trPr>
        <w:tc>
          <w:tcPr>
            <w:tcW w:w="184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cs="" w:asciiTheme="majorHAnsi" w:cstheme="majorHAnsi" w:hAnsiTheme="majorHAnsi"/>
                <w:sz w:val="20"/>
                <w:szCs w:val="20"/>
              </w:rPr>
            </w:pPr>
            <w:r>
              <w:rPr>
                <w:rFonts w:cs="" w:ascii="Calibri" w:hAnsi="Calibri" w:cstheme="majorHAnsi"/>
                <w:sz w:val="20"/>
                <w:szCs w:val="20"/>
              </w:rPr>
              <w:t>Data și semnătura</w:t>
            </w:r>
          </w:p>
        </w:tc>
        <w:tc>
          <w:tcPr>
            <w:tcW w:w="2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  <w:tc>
          <w:tcPr>
            <w:tcW w:w="23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  <w:tc>
          <w:tcPr>
            <w:tcW w:w="23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</w:pPr>
            <w:r>
              <w:rPr>
                <w:rFonts w:cs="" w:asciiTheme="majorHAnsi" w:cstheme="majorHAnsi" w:hAnsiTheme="majorHAnsi"/>
                <w:sz w:val="20"/>
                <w:szCs w:val="20"/>
                <w:highlight w:val="yellow"/>
              </w:rPr>
              <w:t xml:space="preserve">                         </w:t>
            </w:r>
          </w:p>
        </w:tc>
      </w:tr>
    </w:tbl>
    <w:p>
      <w:pPr>
        <w:pStyle w:val="Normal"/>
        <w:bidi w:val="0"/>
        <w:jc w:val="start"/>
        <w:rPr>
          <w:rFonts w:cs="" w:asciiTheme="majorHAnsi" w:cstheme="majorHAnsi" w:hAnsiTheme="majorHAnsi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spacing w:lineRule="auto" w:line="240" w:before="0" w:after="0"/>
      <w:contextualSpacing/>
    </w:pPr>
    <w:rPr>
      <w:rFonts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qFormat/>
    <w:pPr>
      <w:spacing w:lineRule="auto" w:line="259" w:before="0" w:after="160"/>
    </w:pPr>
    <w:rPr>
      <w:rFonts w:eastAsia="" w:cs="" w:asciiTheme="minorHAnsi" w:cstheme="minorBidi" w:eastAsiaTheme="minorEastAsia" w:hAnsiTheme="minorHAnsi"/>
      <w:color w:val="5A5A5A" w:themeColor="text1" w:themeTint="a5"/>
      <w:spacing w:val="1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LibreOffice/6.4.7.2$Linux_X86_64 LibreOffice_project/40$Build-2</Application>
  <Pages>2</Pages>
  <Words>527</Words>
  <Characters>3351</Characters>
  <CharactersWithSpaces>4039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2023-10-09T11:15:52Z</dcterms:created>
  <dc:creator/>
  <dc:description/>
  <dc:language>en-US</dc:language>
  <cp:lastModifiedBy/>
  <dcterms:modified xsi:type="dcterms:W3CDTF">2023-10-22T17:39:04Z</dcterms:modified>
  <cp:revision>49</cp:revision>
  <dc:subject/>
  <dc:title/>
</cp:coreProperties>
</file>